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D0" w:rsidRPr="00391FD0" w:rsidRDefault="00391FD0" w:rsidP="00391FD0">
      <w:pPr>
        <w:pStyle w:val="a3"/>
        <w:jc w:val="both"/>
      </w:pPr>
      <w:r w:rsidRPr="00391FD0">
        <w:rPr>
          <w:b/>
        </w:rPr>
        <w:t>Вопрос:</w:t>
      </w:r>
      <w:r w:rsidRPr="00391FD0">
        <w:t xml:space="preserve"> Российская организация, резидент СЭЗ, поместила под таможенную процедуру свободной таможенной зоны иностранное сырье. Из сырья российской организацией была изготовлена готовая продукция, которая при отгрузке в Россию российскому покупателю помещается под таможенную процедуру выпуска для внутреннего потребления. Вправе ли российская организация определить таможенную стоимость готовой продукции при ее помещении под таможенную процедуру выпуска для внутреннего потребления по методу по стоимости сделки с ввозимыми товарами (метод 1), если расчеты между российской организацией и российским покупателем производятся путем оформления переводного векселя?</w:t>
      </w:r>
    </w:p>
    <w:p w:rsidR="00391FD0" w:rsidRPr="00391FD0" w:rsidRDefault="00391FD0" w:rsidP="00391FD0">
      <w:pPr>
        <w:pStyle w:val="a3"/>
        <w:jc w:val="both"/>
      </w:pPr>
      <w:r w:rsidRPr="00391FD0">
        <w:rPr>
          <w:b/>
        </w:rPr>
        <w:t>Ответ:</w:t>
      </w:r>
      <w:r w:rsidRPr="00391FD0">
        <w:t xml:space="preserve"> Российская организация вправе определить таможенную стоимость готовой продукции при ее помещении под таможенную процедуру выпуска для внутреннего потребления по методу по стоимости сделки с ввозимыми товарами (метод 1), если расчеты между российской организацией и российским покупателем производятся путем оформления переводного векселя, так как вексель рассматривается в качестве средства платежа за готовую продукцию.</w:t>
      </w:r>
    </w:p>
    <w:p w:rsidR="00391FD0" w:rsidRPr="00391FD0" w:rsidRDefault="00391FD0" w:rsidP="00391FD0">
      <w:pPr>
        <w:pStyle w:val="a3"/>
        <w:jc w:val="both"/>
      </w:pPr>
      <w:r w:rsidRPr="00391FD0">
        <w:t>Обоснование: Согласно п. 2 ст. 202 Таможенного кодекса Таможенного союза таможенная процедура - свободная таможенная зона устанавливается международными договорами государств - членов Таможенного союза.</w:t>
      </w:r>
    </w:p>
    <w:p w:rsidR="00391FD0" w:rsidRPr="00391FD0" w:rsidRDefault="00391FD0" w:rsidP="00391FD0">
      <w:pPr>
        <w:pStyle w:val="a3"/>
        <w:jc w:val="both"/>
      </w:pPr>
      <w:r w:rsidRPr="00391FD0">
        <w:t>В соответствии со ст. 18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(заключено в г. Санкт-Петербурге 18.06.2010) при завершении таможенной процедуры свободной таможенной зоны в отношении товаров, помещенных под таможенную процедуру свободной таможенной зоны, а также товаров, изготовленных (полученных) из товаров, помещенных под таможенную процедуру свободной таможенной зоны, таможенная стоимость таких товаров определяется в соответствии с Соглашением между Правительством РФ,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 (далее - Соглашение) с учетом особенностей, установленных решением Комиссии Таможенного союза, а также настоящим Соглашением.</w:t>
      </w:r>
    </w:p>
    <w:p w:rsidR="00391FD0" w:rsidRPr="00391FD0" w:rsidRDefault="00391FD0" w:rsidP="00391FD0">
      <w:pPr>
        <w:pStyle w:val="a3"/>
        <w:jc w:val="both"/>
      </w:pPr>
      <w:r w:rsidRPr="00391FD0">
        <w:t>В соответствии с п. 1 Положения об особенностях определения таможенной стоимости товаров при завершении таможенной процедуры свободной таможенной зоны и таможенной процедуры свободного склада, утвержденного Решением Коллегии Евразийской экономической комиссии от 01.11.2016 N 130 (далее - Положение), оно устанавливает особенности определения таможенной стоимости в том числе товаров, изготовленных (полученных) из иностранных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и товаров Евразийского экономического союза. Пунктом 3 Положения установлено, что таможенная стоимость оцениваемых товаров определяется по методу по стоимости сделки с ввозимыми товарами (метод 1) при соблюдении условий, установленных п. 1 ст. 4 Соглашения, в случае если такие товары продаются для вывоза с территории СЭЗ или свободного склада на остальную часть таможенной территории Союза.</w:t>
      </w:r>
    </w:p>
    <w:p w:rsidR="00391FD0" w:rsidRPr="00391FD0" w:rsidRDefault="00391FD0" w:rsidP="00391FD0">
      <w:pPr>
        <w:pStyle w:val="a3"/>
        <w:jc w:val="both"/>
      </w:pPr>
      <w:r w:rsidRPr="00391FD0">
        <w:t>При этом п. 2 Положения определено, что для целей применения Соглашения оцениваемые товары, вывозимые с территории СЭЗ или свободного склада на остальную часть таможенной территории Союза, рассматриваются как ввозимые на таможенную территорию Союза и пересекающие таможенную границу Союза.</w:t>
      </w:r>
    </w:p>
    <w:p w:rsidR="00391FD0" w:rsidRPr="00391FD0" w:rsidRDefault="00391FD0" w:rsidP="00391FD0">
      <w:pPr>
        <w:pStyle w:val="a3"/>
        <w:jc w:val="both"/>
      </w:pPr>
      <w:r w:rsidRPr="00391FD0">
        <w:t>Согласно ст. 4 Соглашения установлено, что таможенной стоимостью товаров, ввозимых на таможенную территорию Таможенного союза,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Таможенного союза и дополненная в соответствии с положениями ст. 5 Соглашения.</w:t>
      </w:r>
    </w:p>
    <w:p w:rsidR="00391FD0" w:rsidRPr="00391FD0" w:rsidRDefault="00391FD0" w:rsidP="00391FD0">
      <w:pPr>
        <w:pStyle w:val="a3"/>
        <w:jc w:val="both"/>
      </w:pPr>
      <w:r w:rsidRPr="00391FD0">
        <w:t xml:space="preserve">Пунктом 5.1 Правил применения метода определения таможенной стоимости товаров по стоимости сделки с ввозимыми товарами (метод 1), утвержденных Решением Коллегии Евразийской экономической комиссии от 20.12.2012 N 283, определено, что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 может быть произведен не только </w:t>
      </w:r>
      <w:r w:rsidRPr="00391FD0">
        <w:lastRenderedPageBreak/>
        <w:t>посредством перевода денежных средств, но и путем расчетов по аккредитиву или расчетов с использованием финансовых инструментов (акция, облигация, чек, простой или переводной вексель, ордер, варрант, сертификат и др.).</w:t>
      </w:r>
    </w:p>
    <w:p w:rsidR="00391FD0" w:rsidRPr="00391FD0" w:rsidRDefault="00391FD0" w:rsidP="00391FD0">
      <w:pPr>
        <w:pStyle w:val="a3"/>
        <w:jc w:val="both"/>
      </w:pPr>
      <w:r w:rsidRPr="00391FD0">
        <w:t>Таким образом, российская организация вправе определить таможенную стоимость готовой продукции при ее помещении под таможенную процедуру выпуска для внутреннего потребления по методу по стоимости сделки с ввозимыми товарами (метод 1), если расчеты между российской организацией и российским покупателем производятся путем оформления переводного векселя, так как вексель рассматривается в качестве средства платежа за готовую продукцию.</w:t>
      </w:r>
    </w:p>
    <w:p w:rsidR="00391FD0" w:rsidRPr="00391FD0" w:rsidRDefault="00391FD0" w:rsidP="00391FD0">
      <w:pPr>
        <w:pStyle w:val="a3"/>
      </w:pPr>
      <w:r w:rsidRPr="00391FD0">
        <w:t>Н.А. Дубинский</w:t>
      </w:r>
      <w:r>
        <w:br/>
      </w:r>
      <w:r w:rsidRPr="00391FD0">
        <w:t>Учреждение образования</w:t>
      </w:r>
      <w:r>
        <w:br/>
      </w:r>
      <w:r w:rsidRPr="00391FD0">
        <w:t>"Витебский государственный</w:t>
      </w:r>
      <w:r>
        <w:br/>
      </w:r>
      <w:r w:rsidRPr="00391FD0">
        <w:t>технологический университет"</w:t>
      </w:r>
    </w:p>
    <w:p w:rsidR="00391FD0" w:rsidRPr="00391FD0" w:rsidRDefault="00391FD0" w:rsidP="00391FD0">
      <w:pPr>
        <w:pStyle w:val="a3"/>
      </w:pPr>
      <w:bookmarkStart w:id="0" w:name="_GoBack"/>
      <w:r w:rsidRPr="00391FD0">
        <w:t>24.01.2017</w:t>
      </w:r>
      <w:bookmarkEnd w:id="0"/>
    </w:p>
    <w:sectPr w:rsidR="00391FD0" w:rsidRPr="0039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D0"/>
    <w:rsid w:val="0039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92D99-F3EA-49F7-AE59-7AEDC83A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F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391FD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2017-12-15T08:11:00Z</dcterms:created>
  <dcterms:modified xsi:type="dcterms:W3CDTF">2017-12-15T08:13:00Z</dcterms:modified>
</cp:coreProperties>
</file>